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rPr>
          <w:rFonts w:ascii="微软雅黑" w:cs="微软雅黑" w:eastAsia="微软雅黑" w:hAnsi="微软雅黑"/>
          <w:b/>
          <w:bCs/>
          <w:color w:val="1F4E79"/>
          <w:sz w:val="36"/>
          <w:szCs w:val="36"/>
        </w:rPr>
        <w:t xml:space="preserve">社会消防技术服务管理规定</w:t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b/>
          <w:bCs/>
          <w:color w:val="1F4E79"/>
          <w:sz w:val="36"/>
          <w:szCs w:val="36"/>
        </w:rPr>
        <w:t xml:space="preserve">（2026修订）合规自查清单</w:t>
      </w:r>
    </w:p>
    <w:p>
      <w:pPr>
        <w:spacing w:after="360"/>
        <w:jc w:val="center"/>
      </w:pPr>
      <w:r>
        <w:rPr>
          <w:rFonts w:ascii="微软雅黑" w:cs="微软雅黑" w:eastAsia="微软雅黑" w:hAnsi="微软雅黑"/>
          <w:color w:val="666666"/>
          <w:sz w:val="22"/>
          <w:szCs w:val="22"/>
        </w:rPr>
        <w:t xml:space="preserve">依据应急管理部令第23号整理 | 2027年1月1日起施行</w:t>
      </w:r>
    </w:p>
    <w:p>
      <w:pPr>
        <w:spacing w:after="120" w:line="300"/>
      </w:pPr>
      <w:r>
        <w:rPr>
          <w:rFonts w:ascii="微软雅黑" w:cs="微软雅黑" w:eastAsia="微软雅黑" w:hAnsi="微软雅黑"/>
          <w:b/>
          <w:bCs/>
          <w:sz w:val="21"/>
          <w:szCs w:val="21"/>
        </w:rPr>
        <w:t xml:space="preserve">使用说明：</w:t>
      </w:r>
      <w:r>
        <w:rPr>
          <w:rFonts w:ascii="微软雅黑" w:cs="微软雅黑" w:eastAsia="微软雅黑" w:hAnsi="微软雅黑"/>
          <w:sz w:val="21"/>
          <w:szCs w:val="21"/>
        </w:rPr>
        <w:t xml:space="preserve">对照本机构 / 本项目实际情况逐项勾选。"合规"=满足要求；"需整改"=标注责任人和完成期限。第1–22项为自查项，附条款依据；第五、六部分为罚则速查和关键时间线。</w:t>
      </w:r>
    </w:p>
    <w:p>
      <w:pPr>
        <w:spacing w:after="120" w:line="300"/>
      </w:pPr>
      <w:r>
        <w:rPr>
          <w:rFonts w:ascii="微软雅黑" w:cs="微软雅黑" w:eastAsia="微软雅黑" w:hAnsi="微软雅黑"/>
          <w:b/>
          <w:bCs/>
          <w:sz w:val="21"/>
          <w:szCs w:val="21"/>
        </w:rPr>
        <w:t xml:space="preserve">适用对象：</w:t>
      </w:r>
      <w:r>
        <w:rPr>
          <w:rFonts w:ascii="微软雅黑" w:cs="微软雅黑" w:eastAsia="微软雅黑" w:hAnsi="微软雅黑"/>
          <w:sz w:val="21"/>
          <w:szCs w:val="21"/>
        </w:rPr>
        <w:t xml:space="preserve">从事消防设施维护保养检测、消防安全评估的机构及其执业人员。"适用范围"列注明机构类型或业务场景，不适用的项目可跳过。</w:t>
      </w:r>
    </w:p>
    <w:p>
      <w:pPr>
        <w:pStyle w:val="Heading1"/>
        <w:spacing w:after="140" w:before="260"/>
      </w:pPr>
      <w:r>
        <w:rPr>
          <w:rFonts w:ascii="微软雅黑" w:cs="微软雅黑" w:eastAsia="微软雅黑" w:hAnsi="微软雅黑"/>
          <w:b/>
          <w:bCs/>
          <w:color w:val="1F4E79"/>
          <w:sz w:val="28"/>
          <w:szCs w:val="28"/>
        </w:rPr>
        <w:t xml:space="preserve">一、证照与备案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5047"/>
        <w:gridCol w:w="1941"/>
        <w:gridCol w:w="1941"/>
      </w:tblGrid>
      <w:tr>
        <w:trPr>
          <w:tblHeader/>
        </w:trPr>
        <w:tc>
          <w:tcPr>
            <w:tcW w:type="pct" w:w="4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序号</w:t>
            </w:r>
          </w:p>
        </w:tc>
        <w:tc>
          <w:tcPr>
            <w:tcW w:type="pct" w:w="26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自查项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条款依据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合规 /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营业执照经营范围含"消防设施维护保养检测"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第六条(一)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营业执照经营范围含"消防安全评估"（兼营评估的必须两项都有）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第七条(一) / 第八条(一)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已通过社会消防技术服务信息系统向住所地省级消防救援机构备案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第九条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备案信息变化后15个工作日内完成更新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第九条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工作场所醒目位置公示营业执照、工作程序、收费标准、从业守则、注册证书、投诉电话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第十九条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</w:tbl>
    <w:p>
      <w:pPr>
        <w:pStyle w:val="Heading1"/>
        <w:spacing w:after="140" w:before="260"/>
      </w:pPr>
      <w:r>
        <w:rPr>
          <w:rFonts w:ascii="微软雅黑" w:cs="微软雅黑" w:eastAsia="微软雅黑" w:hAnsi="微软雅黑"/>
          <w:b/>
          <w:bCs/>
          <w:color w:val="1F4E79"/>
          <w:sz w:val="28"/>
          <w:szCs w:val="28"/>
        </w:rPr>
        <w:t xml:space="preserve">二、人员配置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5047"/>
        <w:gridCol w:w="1941"/>
        <w:gridCol w:w="1941"/>
      </w:tblGrid>
      <w:tr>
        <w:trPr>
          <w:tblHeader/>
        </w:trPr>
        <w:tc>
          <w:tcPr>
            <w:tcW w:type="pct" w:w="4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序号</w:t>
            </w:r>
          </w:p>
        </w:tc>
        <w:tc>
          <w:tcPr>
            <w:tcW w:type="pct" w:w="26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自查项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条款依据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合规 /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注册消防工程师不少于4人，其中一级不少于2人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第六条(四)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消防设施操作员不少于8人，其中中级技能等级以上不少于2人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第六条(五)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承接5万㎡以上商业综合体或多系统高档场所：一级工程师≥6人、操作员≥10人（中级≥4、高级≥1）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第六条第二款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评估机构：注册消防工程师≥4人（一级≥2人）、操作员≥2人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第七条(四)(五)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技术负责人为一级注册消防工程师，且在本行业领域执业2年以上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第十三条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与全部执业人员签订劳动合同并缴纳社会保险费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第十二条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无工程师、操作员"同时在两个以上单位执业"情形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第二十三条(一)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</w:tbl>
    <w:p>
      <w:pPr>
        <w:pStyle w:val="Heading1"/>
        <w:spacing w:after="140" w:before="260"/>
      </w:pPr>
      <w:r>
        <w:rPr>
          <w:rFonts w:ascii="微软雅黑" w:cs="微软雅黑" w:eastAsia="微软雅黑" w:hAnsi="微软雅黑"/>
          <w:b/>
          <w:bCs/>
          <w:color w:val="1F4E79"/>
          <w:sz w:val="28"/>
          <w:szCs w:val="28"/>
        </w:rPr>
        <w:t xml:space="preserve">三、执业动作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5047"/>
        <w:gridCol w:w="1941"/>
        <w:gridCol w:w="1941"/>
      </w:tblGrid>
      <w:tr>
        <w:trPr>
          <w:tblHeader/>
        </w:trPr>
        <w:tc>
          <w:tcPr>
            <w:tcW w:type="pct" w:w="4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序号</w:t>
            </w:r>
          </w:p>
        </w:tc>
        <w:tc>
          <w:tcPr>
            <w:tcW w:type="pct" w:w="26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自查项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条款依据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合规 /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承接业务以书面形式签订消防技术服务合同，并明确项目负责人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第十四条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项目负责人具备相应的注册消防工程师资格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第十四条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结论文件"三签两章"：操作员、项目负责人、技术负责人签名＋两枚执业印章＋机构印章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第十五条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维保后在设施所在建筑醒目位置张贴耐用材料标识（机构名称、项目负责人、维保日期）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第十五条第二款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无转包分包、无指派无证人员、无冒用其他机构名义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第二十二条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</w:tbl>
    <w:p>
      <w:pPr>
        <w:pStyle w:val="Heading1"/>
        <w:spacing w:after="140" w:before="260"/>
      </w:pPr>
      <w:r>
        <w:rPr>
          <w:rFonts w:ascii="微软雅黑" w:cs="微软雅黑" w:eastAsia="微软雅黑" w:hAnsi="微软雅黑"/>
          <w:b/>
          <w:bCs/>
          <w:color w:val="1F4E79"/>
          <w:sz w:val="28"/>
          <w:szCs w:val="28"/>
        </w:rPr>
        <w:t xml:space="preserve">四、档案与公开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5047"/>
        <w:gridCol w:w="1941"/>
        <w:gridCol w:w="1941"/>
      </w:tblGrid>
      <w:tr>
        <w:trPr>
          <w:tblHeader/>
        </w:trPr>
        <w:tc>
          <w:tcPr>
            <w:tcW w:type="pct" w:w="4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序号</w:t>
            </w:r>
          </w:p>
        </w:tc>
        <w:tc>
          <w:tcPr>
            <w:tcW w:type="pct" w:w="26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自查项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条款依据</w:t>
            </w:r>
          </w:p>
        </w:tc>
        <w:tc>
          <w:tcPr>
            <w:tcW w:type="pct" w:w="10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合规 /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通过文字、图像和现场影像对服务情况作客观、真实、完整记录，按项目建档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第十六条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档案保管期限10年（较旧规6年延长，注意归档周期）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第十六条第二款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维保档案六件套齐全：合同、消防设施基本信息表、工作计划、现场照片和视频、原始记录、报告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第十七条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评估档案四件套齐全：合同、评估记录表、评估报告、评估意见表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第十八条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结论文件自出具之日起15个工作日内在社会消防技术服务信息系统公开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第十六条第三款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□ 合规   □ 需整改</w:t>
            </w:r>
          </w:p>
        </w:tc>
      </w:tr>
    </w:tbl>
    <w:p>
      <w:pPr>
        <w:pStyle w:val="Heading1"/>
        <w:spacing w:after="140" w:before="260"/>
      </w:pPr>
      <w:r>
        <w:rPr>
          <w:rFonts w:ascii="微软雅黑" w:cs="微软雅黑" w:eastAsia="微软雅黑" w:hAnsi="微软雅黑"/>
          <w:b/>
          <w:bCs/>
          <w:color w:val="1F4E79"/>
          <w:sz w:val="28"/>
          <w:szCs w:val="28"/>
        </w:rPr>
        <w:t xml:space="preserve">五、罚则速查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65"/>
        <w:gridCol w:w="5047"/>
        <w:gridCol w:w="3494"/>
      </w:tblGrid>
      <w:tr>
        <w:trPr>
          <w:tblHeader/>
        </w:trPr>
        <w:tc>
          <w:tcPr>
            <w:tcW w:type="pct" w:w="6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条款</w:t>
            </w:r>
          </w:p>
        </w:tc>
        <w:tc>
          <w:tcPr>
            <w:tcW w:type="pct" w:w="26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违规情形</w:t>
            </w:r>
          </w:p>
        </w:tc>
        <w:tc>
          <w:tcPr>
            <w:tcW w:type="pct" w:w="18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处罚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第三十三条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不具备从业条件执业 / 出具虚假文件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机构5万–10万＋责任人1万–5万；情节严重停业吊证；重大损失吊照＋终身市场禁入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第三十四条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冒用其他机构名义执业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2万–5万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第三十五条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人员多点执业 / 指派无证人员 / 转包分包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机构1万–3万；个人5000–1万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第三十六条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未设技术负责人、缺签名盖章、未签书面合同、未建档、结论未公开、事项未公示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1万以下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第三十七条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未备案或未及时更新：2000–1万；备案提供虚假信息：1万–3万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第三十八条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未张贴维保标识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5000以下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第四十条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维保设施不能正常运行：罚合同价款等额；火灾中未发挥作用：2倍（≤10万）；致人员伤亡：3倍（≤20万）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与合同价款挂钩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第三十九条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出具虚假文件等严重违法被处罚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纳入严重失信主体名单，实施失信惩戒</w:t>
            </w:r>
          </w:p>
        </w:tc>
      </w:tr>
    </w:tbl>
    <w:p>
      <w:pPr>
        <w:pStyle w:val="Heading1"/>
        <w:spacing w:after="140" w:before="260"/>
      </w:pPr>
      <w:r>
        <w:rPr>
          <w:rFonts w:ascii="微软雅黑" w:cs="微软雅黑" w:eastAsia="微软雅黑" w:hAnsi="微软雅黑"/>
          <w:b/>
          <w:bCs/>
          <w:color w:val="1F4E79"/>
          <w:sz w:val="28"/>
          <w:szCs w:val="28"/>
        </w:rPr>
        <w:t xml:space="preserve">六、关键时间线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35"/>
        <w:gridCol w:w="7571"/>
      </w:tblGrid>
      <w:tr>
        <w:trPr>
          <w:tblHeader/>
        </w:trPr>
        <w:tc>
          <w:tcPr>
            <w:tcW w:type="pct" w:w="11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时间</w:t>
            </w:r>
          </w:p>
        </w:tc>
        <w:tc>
          <w:tcPr>
            <w:tcW w:type="pct" w:w="3900"/>
            <w:shd w:fill="1F4E79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/>
                <w:bCs/>
                <w:sz w:val="21"/>
                <w:szCs w:val="21"/>
              </w:rPr>
              <w:t xml:space="preserve">事项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2026年9月18日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第23号令公布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2026年内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存量机构准备期：盘点人数缺口、清理多点执业、完成系统备案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2027年1月1日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新规施行，第六至八条从业条件按新标准执行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2027年内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存量机构过渡期截止：实施前已从业但不符合条件的，自施行之日起1年内达标并备案（第四十九条）</w:t>
            </w:r>
          </w:p>
        </w:tc>
      </w:tr>
      <w:tr>
        <w:trPr>
          <w:tblHeader w:val="off"/>
        </w:trPr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长期</w:t>
            </w:r>
          </w:p>
        </w:tc>
        <w:tc>
          <w:tcPr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微软雅黑" w:cs="微软雅黑" w:eastAsia="微软雅黑" w:hAnsi="微软雅黑"/>
                <w:b w:val="false"/>
                <w:bCs w:val="false"/>
                <w:sz w:val="21"/>
                <w:szCs w:val="21"/>
              </w:rPr>
              <w:t xml:space="preserve">备案更新、结论公开、档案管理纳入日常管理</w:t>
            </w:r>
          </w:p>
        </w:tc>
      </w:tr>
    </w:tbl>
    <w:p>
      <w:pPr>
        <w:spacing w:after="0" w:before="300"/>
      </w:pPr>
      <w:r>
        <w:rPr>
          <w:rFonts w:ascii="微软雅黑" w:cs="微软雅黑" w:eastAsia="微软雅黑" w:hAnsi="微软雅黑"/>
          <w:i/>
          <w:iCs/>
          <w:color w:val="888888"/>
          <w:sz w:val="18"/>
          <w:szCs w:val="18"/>
        </w:rPr>
        <w:t xml:space="preserve">本清单依据官方部令原文整理，仅供自查参考；如有出入，以官方原文和当地消防救援机构解释为准。</w:t>
      </w:r>
    </w:p>
    <w:sectPr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2026-10-19T15:20:21.960Z</dcterms:created>
  <dcterms:modified xsi:type="dcterms:W3CDTF">2026-10-19T15:20:21.962Z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